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395B" w:rsidRDefault="00000000">
      <w:pPr>
        <w:pStyle w:val="Ttulo1"/>
        <w:spacing w:before="0" w:after="240"/>
        <w:jc w:val="center"/>
      </w:pPr>
      <w:r>
        <w:t>Moción para la adhesión del Ayuntamiento de [NOMBRE DEL MUNICIPIO] a la Carta de Arteixo: servicios de agua urbana, transformación digital y transición hídrica</w:t>
      </w:r>
    </w:p>
    <w:p w:rsidR="00CD395B" w:rsidRDefault="00000000">
      <w:pPr>
        <w:pStyle w:val="Ttulo2"/>
      </w:pPr>
      <w:r>
        <w:t>Exposición de motivos</w:t>
      </w:r>
    </w:p>
    <w:p w:rsidR="00CD395B" w:rsidRDefault="00000000">
      <w:pPr>
        <w:spacing w:after="160"/>
      </w:pPr>
      <w:r>
        <w:t>El agua es un bien común esencial para la vida, la salud pública, la cohesión social, la actividad económica y la sostenibilidad ambiental. Los servicios de abastecimiento, saneamiento, depuración y reutilización constituyen servicios públicos esenciales que requieren una gestión eficaz, transparente, resiliente y orientada al interés general.</w:t>
      </w:r>
    </w:p>
    <w:p w:rsidR="00CD395B" w:rsidRDefault="00000000">
      <w:pPr>
        <w:spacing w:after="160"/>
      </w:pPr>
      <w:r>
        <w:t>Los municipios desempeñan un papel central en la garantía de estos servicios, en coordinación con las administraciones competentes y con los entes gestores del agua.</w:t>
      </w:r>
    </w:p>
    <w:p w:rsidR="00CD395B" w:rsidRDefault="00000000">
      <w:pPr>
        <w:spacing w:after="160"/>
      </w:pPr>
      <w:r>
        <w:t>La gestión de los sistemas de agua urbana afronta retos cada vez más complejos: episodios de sequía, lluvias intensas, inundaciones, envejecimiento de infraestructuras, incremento de costes energéticos, necesidad de renovación de redes, mejora de la eficiencia hidráulica, reducción de pérdidas, protección de la calidad del agua, adaptación climática y exigencia creciente de transparencia ante la ciudadanía.</w:t>
      </w:r>
    </w:p>
    <w:p w:rsidR="00CD395B" w:rsidRDefault="00000000">
      <w:pPr>
        <w:spacing w:after="160"/>
      </w:pPr>
      <w:r>
        <w:t xml:space="preserve">En este contexto, la digitalización de los servicios de agua urbana debe entenderse como una herramienta al servicio de una mejor gestión pública, y no como un fin en sí mismo. La incorporación de sensores, </w:t>
      </w:r>
      <w:proofErr w:type="spellStart"/>
      <w:r>
        <w:t>telelectura</w:t>
      </w:r>
      <w:proofErr w:type="spellEnd"/>
      <w:r>
        <w:t>, sistemas de información, plataformas digitales, modelización hidráulica, inteligencia artificial o herramientas de control avanzado solo tendrá sentido si contribuye a mejorar la toma de decisiones, reducir pérdidas, aumentar la eficiencia energética, reforzar la transparencia, garantizar la calidad del dato y mejorar la rendición de cuentas.</w:t>
      </w:r>
    </w:p>
    <w:p w:rsidR="00CD395B" w:rsidRDefault="00000000">
      <w:pPr>
        <w:spacing w:after="160"/>
      </w:pPr>
      <w:r>
        <w:t>Fruto del encuentro celebrado en Arteixo el 16 de abril de 2026, organizado por AEOPAS —Asociación de Operadores Públicos de Abastecimiento y Saneamiento— con la participación de instituciones, operadores públicos, universidades y profesionales del sector, se redactó la Carta de Arteixo: Servicios de agua urbana, transformación digital y transición hídrica. Este documento plantea la necesidad de revisar los enfoques tradicionales de planificación y gestión de los servicios de agua urbana ante la incertidumbre climática, el envejecimiento de las redes y la creciente complejidad de la gestión de los recursos hídricos.</w:t>
      </w:r>
    </w:p>
    <w:p w:rsidR="00CD395B" w:rsidRDefault="00000000">
      <w:pPr>
        <w:spacing w:after="100"/>
      </w:pPr>
      <w:r>
        <w:t>La Carta de Arteixo propone un modelo de gestión basado en los siguientes principios fundamentales:</w:t>
      </w:r>
    </w:p>
    <w:p w:rsidR="00CD395B" w:rsidRDefault="00000000">
      <w:pPr>
        <w:pStyle w:val="Prrafodelista"/>
        <w:numPr>
          <w:ilvl w:val="0"/>
          <w:numId w:val="2"/>
        </w:numPr>
        <w:spacing w:after="60"/>
      </w:pPr>
      <w:r>
        <w:t>reconocer que el agua es un bien imprescindible para la vida y la salud;</w:t>
      </w:r>
    </w:p>
    <w:p w:rsidR="00CD395B" w:rsidRDefault="00000000">
      <w:pPr>
        <w:pStyle w:val="Prrafodelista"/>
        <w:numPr>
          <w:ilvl w:val="0"/>
          <w:numId w:val="2"/>
        </w:numPr>
        <w:spacing w:after="60"/>
      </w:pPr>
      <w:r>
        <w:t>definir los sistemas de agua urbana como servicios de interés general que requieren responsabilidad institucional;</w:t>
      </w:r>
    </w:p>
    <w:p w:rsidR="00CD395B" w:rsidRDefault="00000000">
      <w:pPr>
        <w:pStyle w:val="Prrafodelista"/>
        <w:numPr>
          <w:ilvl w:val="0"/>
          <w:numId w:val="2"/>
        </w:numPr>
        <w:spacing w:after="60"/>
      </w:pPr>
      <w:r>
        <w:t>orientar la digitalización hacia la toma de decisiones, la transparencia, la rendición de cuentas y la protección de la salud pública;</w:t>
      </w:r>
    </w:p>
    <w:p w:rsidR="00CD395B" w:rsidRDefault="00000000">
      <w:pPr>
        <w:pStyle w:val="Prrafodelista"/>
        <w:numPr>
          <w:ilvl w:val="0"/>
          <w:numId w:val="2"/>
        </w:numPr>
        <w:spacing w:after="60"/>
      </w:pPr>
      <w:r>
        <w:t>reforzar las capacidades técnicas de los operadores públicos;</w:t>
      </w:r>
    </w:p>
    <w:p w:rsidR="00CD395B" w:rsidRDefault="00000000">
      <w:pPr>
        <w:pStyle w:val="Prrafodelista"/>
        <w:numPr>
          <w:ilvl w:val="0"/>
          <w:numId w:val="2"/>
        </w:numPr>
        <w:spacing w:after="60"/>
      </w:pPr>
      <w:r>
        <w:t>promover la cooperación entre entidades públicas;</w:t>
      </w:r>
    </w:p>
    <w:p w:rsidR="00CD395B" w:rsidRDefault="00000000">
      <w:pPr>
        <w:pStyle w:val="Prrafodelista"/>
        <w:numPr>
          <w:ilvl w:val="0"/>
          <w:numId w:val="2"/>
        </w:numPr>
        <w:spacing w:after="60"/>
      </w:pPr>
      <w:r>
        <w:t>impulsar la renovación de las redes de abastecimiento y saneamiento;</w:t>
      </w:r>
    </w:p>
    <w:p w:rsidR="00CD395B" w:rsidRDefault="00000000">
      <w:pPr>
        <w:pStyle w:val="Prrafodelista"/>
        <w:numPr>
          <w:ilvl w:val="0"/>
          <w:numId w:val="2"/>
        </w:numPr>
        <w:spacing w:after="60"/>
      </w:pPr>
      <w:r>
        <w:lastRenderedPageBreak/>
        <w:t>garantizar una financiación pública estable y sostenida para la transición hídrica.</w:t>
      </w:r>
    </w:p>
    <w:p w:rsidR="00CD395B" w:rsidRDefault="00000000">
      <w:pPr>
        <w:spacing w:before="160" w:after="160"/>
      </w:pPr>
      <w:r>
        <w:t>La adhesión de este Ayuntamiento a la Carta de Arteixo supone asumir un compromiso con una política local del agua basada en la planificación, la eficiencia, la transparencia, la cooperación institucional y la defensa del interés general. También permite situar a [NOMBRE DEL MUNICIPIO] dentro de una red de municipios y operadores comprometidos con una transición hídrica justa, técnicamente solvente y orientada a las necesidades reales de la ciudadanía.</w:t>
      </w:r>
    </w:p>
    <w:p w:rsidR="00CD395B" w:rsidRDefault="00000000">
      <w:pPr>
        <w:spacing w:after="160"/>
      </w:pPr>
      <w:r>
        <w:t>La transformación digital de los servicios de agua urbana debe contribuir a mejorar la capacidad de análisis, anticipación y respuesta de los servicios públicos. Los datos generados por los sistemas de abastecimiento, saneamiento, depuración y reutilización deben ponerse al servicio de una gestión más eficiente, de una ciudadanía mejor informada y de una toma de decisiones pública más transparente.</w:t>
      </w:r>
    </w:p>
    <w:p w:rsidR="00CD395B" w:rsidRDefault="00000000">
      <w:pPr>
        <w:spacing w:after="240"/>
      </w:pPr>
      <w:r>
        <w:t xml:space="preserve">Asimismo, la renovación de infraestructuras hidráulicas debe considerarse una prioridad estratégica. La reducción de pérdidas, la mejora del rendimiento de las redes, la sectorización, la </w:t>
      </w:r>
      <w:proofErr w:type="spellStart"/>
      <w:r>
        <w:t>telelectura</w:t>
      </w:r>
      <w:proofErr w:type="spellEnd"/>
      <w:r>
        <w:t>, la gestión patrimonial de activos, la eficiencia energética y la reutilización de aguas regeneradas son elementos imprescindibles para reforzar la seguridad hídrica municipal y territorial.</w:t>
      </w:r>
    </w:p>
    <w:p w:rsidR="00CD395B" w:rsidRDefault="00000000">
      <w:pPr>
        <w:spacing w:after="200"/>
      </w:pPr>
      <w:r>
        <w:t>Por todo ello, el Pleno del Ayuntamiento de [NOMBRE DEL MUNICIPIO] adopta los siguientes:</w:t>
      </w:r>
    </w:p>
    <w:p w:rsidR="00CD395B" w:rsidRDefault="00000000">
      <w:pPr>
        <w:pStyle w:val="Ttulo2"/>
      </w:pPr>
      <w:r>
        <w:t>Acuerdos</w:t>
      </w:r>
    </w:p>
    <w:p w:rsidR="00CD395B" w:rsidRDefault="00000000">
      <w:pPr>
        <w:spacing w:after="140"/>
      </w:pPr>
      <w:r>
        <w:rPr>
          <w:b/>
          <w:bCs/>
        </w:rPr>
        <w:t xml:space="preserve">Primero. </w:t>
      </w:r>
      <w:r>
        <w:t>Aprobar la adhesión formal del Ayuntamiento de [NOMBRE DEL MUNICIPIO] a la Carta de Arteixo: Servicios de agua urbana, transformación digital y transición hídrica, asumiendo sus principios de gestión del agua urbana como bien común esencial y servicio de interés general.</w:t>
      </w:r>
    </w:p>
    <w:p w:rsidR="00CD395B" w:rsidRDefault="00000000">
      <w:pPr>
        <w:spacing w:after="140"/>
      </w:pPr>
      <w:r>
        <w:rPr>
          <w:b/>
          <w:bCs/>
        </w:rPr>
        <w:t xml:space="preserve">Segundo. </w:t>
      </w:r>
      <w:r>
        <w:t>Reconocer que los servicios de abastecimiento, saneamiento, depuración y reutilización forman parte de las infraestructuras esenciales del municipio y requieren una gestión pública orientada a la eficiencia, la transparencia, la sostenibilidad ambiental, la protección de la salud pública y la garantía del derecho humano al agua y al saneamiento.</w:t>
      </w:r>
    </w:p>
    <w:p w:rsidR="00CD395B" w:rsidRDefault="00000000">
      <w:pPr>
        <w:spacing w:after="140"/>
      </w:pPr>
      <w:r>
        <w:rPr>
          <w:b/>
          <w:bCs/>
        </w:rPr>
        <w:t xml:space="preserve">Tercero. </w:t>
      </w:r>
      <w:r>
        <w:t>Impulsar la transformación digital de los servicios de agua urbana como una palanca estratégica para mejorar la toma de decisiones, la eficiencia operativa, la reducción de pérdidas, la información a la ciudadanía, la transparencia y la rendición de cuentas.</w:t>
      </w:r>
    </w:p>
    <w:p w:rsidR="00CD395B" w:rsidRDefault="00000000">
      <w:pPr>
        <w:spacing w:after="140"/>
      </w:pPr>
      <w:r>
        <w:rPr>
          <w:b/>
          <w:bCs/>
        </w:rPr>
        <w:t xml:space="preserve">Cuarto. </w:t>
      </w:r>
      <w:r>
        <w:t>Garantizar que los datos generados por la digitalización de los servicios de agua urbana se orienten al interés general, a la mejora del servicio público, a la protección de la salud, a la sostenibilidad ambiental y a la legitimidad del sistema.</w:t>
      </w:r>
    </w:p>
    <w:p w:rsidR="00CD395B" w:rsidRDefault="00000000">
      <w:pPr>
        <w:spacing w:after="140"/>
      </w:pPr>
      <w:r>
        <w:rPr>
          <w:b/>
          <w:bCs/>
        </w:rPr>
        <w:t xml:space="preserve">Quinto. </w:t>
      </w:r>
      <w:r>
        <w:t>Reforzar la planificación municipal en materia de renovación de infraestructuras hidráulicas, reducción de pérdidas, mejora del rendimiento de las redes, eficiencia energética, reutilización de aguas regeneradas y adaptación a escenarios de sequía, lluvias intensas, inundaciones y cambio climático.</w:t>
      </w:r>
    </w:p>
    <w:p w:rsidR="00CD395B" w:rsidRDefault="00000000">
      <w:pPr>
        <w:spacing w:after="140"/>
      </w:pPr>
      <w:r>
        <w:rPr>
          <w:b/>
          <w:bCs/>
        </w:rPr>
        <w:t xml:space="preserve">Sexto. </w:t>
      </w:r>
      <w:r>
        <w:t xml:space="preserve">Promover la formación, capacitación y dotación de medios técnicos suficientes para que la digitalización de los servicios de agua urbana no suponga </w:t>
      </w:r>
      <w:r>
        <w:lastRenderedPageBreak/>
        <w:t>una dependencia tecnológica acrítica, sino un fortalecimiento de las capacidades públicas de gestión.</w:t>
      </w:r>
    </w:p>
    <w:p w:rsidR="00CD395B" w:rsidRDefault="00000000">
      <w:pPr>
        <w:spacing w:after="140"/>
      </w:pPr>
      <w:r>
        <w:rPr>
          <w:b/>
          <w:bCs/>
        </w:rPr>
        <w:t xml:space="preserve">Séptimo. </w:t>
      </w:r>
      <w:r>
        <w:t>Instar al Gobierno de España y a las instituciones europeas a impulsar marcos de financiación estables, suficientes y previsibles que permitan acometer la renovación de infraestructuras, la digitalización, la reducción de pérdidas, la reutilización, la eficiencia energética y la adaptación climática de los sistemas de agua urbana.</w:t>
      </w:r>
    </w:p>
    <w:p w:rsidR="00CD395B" w:rsidRDefault="00000000">
      <w:pPr>
        <w:spacing w:after="140"/>
      </w:pPr>
      <w:r>
        <w:rPr>
          <w:b/>
          <w:bCs/>
        </w:rPr>
        <w:t xml:space="preserve">Octavo. </w:t>
      </w:r>
      <w:r>
        <w:t>Favorecer mecanismos de cooperación entre administraciones públicas, ayuntamientos, mancomunidades, operadores públicos, universidades, centros de investigación, entidades sociales y ciudadanía para avanzar hacia una gobernanza compartida, transparente y resiliente de los servicios de agua urbana.</w:t>
      </w:r>
    </w:p>
    <w:p w:rsidR="00CD395B" w:rsidRDefault="00000000">
      <w:pPr>
        <w:spacing w:after="140"/>
      </w:pPr>
      <w:r>
        <w:rPr>
          <w:b/>
          <w:bCs/>
        </w:rPr>
        <w:t xml:space="preserve">Noveno. </w:t>
      </w:r>
      <w:r>
        <w:t>Remitir el presente acuerdo de adhesión a AEOPAS —Asociación Española de Operadores Públicos de Abastecimiento y Saneamiento— (secretaria@aeopas.org), así como a las administraciones competentes en materia de agua y a la entidad gestora o prestadora del servicio de agua urbana del municipio, si la hubiera.</w:t>
      </w:r>
    </w:p>
    <w:p w:rsidR="00CD395B" w:rsidRDefault="00000000">
      <w:pPr>
        <w:spacing w:after="140"/>
      </w:pPr>
      <w:r>
        <w:rPr>
          <w:b/>
          <w:bCs/>
        </w:rPr>
        <w:t xml:space="preserve">Décimo. </w:t>
      </w:r>
      <w:r>
        <w:t>Publicar el acuerdo de adhesión en el portal de transparencia municipal y difundirlo a través de los canales de comunicación institucional del Ayuntamiento.</w:t>
      </w:r>
    </w:p>
    <w:p w:rsidR="00CD395B" w:rsidRDefault="00000000">
      <w:pPr>
        <w:pStyle w:val="Ttulo2"/>
        <w:spacing w:before="240"/>
      </w:pPr>
      <w:r>
        <w:t>Fórmula breve para el acuerdo plenario</w:t>
      </w:r>
    </w:p>
    <w:p w:rsidR="00CD395B" w:rsidRDefault="00000000">
      <w:pPr>
        <w:spacing w:after="160"/>
      </w:pPr>
      <w:r>
        <w:t>El Pleno del Ayuntamiento de [NOMBRE DEL MUNICIPIO] acuerda adherirse formalmente a la Carta de Arteixo: Servicios de agua urbana, transformación digital y transición hídrica, asumiendo sus principios de gestión del agua urbana como servicio público esencial de interés general, y comprometiéndose a impulsar una política municipal del agua basada en la eficiencia, la transparencia, la digitalización orientada al bien común, la renovación de infraestructuras, la reducción de pérdidas, la cooperación interinstitucional, la financiación estable y la adaptación a la crisis climática.</w:t>
      </w:r>
    </w:p>
    <w:p w:rsidR="00CD395B" w:rsidRDefault="00000000">
      <w:pPr>
        <w:spacing w:after="160"/>
      </w:pPr>
      <w:r>
        <w:rPr>
          <w:b/>
          <w:bCs/>
        </w:rPr>
        <w:t>El acuerdo deberá remitirse a AEOPAS —Asociación Española de Operadores Públicos de Abastecimiento y Saneamiento— a través del correo electrónico secretaria@aeopas.org.</w:t>
      </w:r>
    </w:p>
    <w:sectPr w:rsidR="00CD395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821"/>
    <w:multiLevelType w:val="hybridMultilevel"/>
    <w:tmpl w:val="A0CC1FB8"/>
    <w:lvl w:ilvl="0" w:tplc="257A3000">
      <w:start w:val="1"/>
      <w:numFmt w:val="bullet"/>
      <w:lvlText w:val="•"/>
      <w:lvlJc w:val="left"/>
      <w:pPr>
        <w:ind w:left="720" w:hanging="360"/>
      </w:pPr>
    </w:lvl>
    <w:lvl w:ilvl="1" w:tplc="B7EE9F6A">
      <w:numFmt w:val="decimal"/>
      <w:lvlText w:val=""/>
      <w:lvlJc w:val="left"/>
    </w:lvl>
    <w:lvl w:ilvl="2" w:tplc="1464A1DC">
      <w:numFmt w:val="decimal"/>
      <w:lvlText w:val=""/>
      <w:lvlJc w:val="left"/>
    </w:lvl>
    <w:lvl w:ilvl="3" w:tplc="0924281C">
      <w:numFmt w:val="decimal"/>
      <w:lvlText w:val=""/>
      <w:lvlJc w:val="left"/>
    </w:lvl>
    <w:lvl w:ilvl="4" w:tplc="2DF6B820">
      <w:numFmt w:val="decimal"/>
      <w:lvlText w:val=""/>
      <w:lvlJc w:val="left"/>
    </w:lvl>
    <w:lvl w:ilvl="5" w:tplc="2C565F70">
      <w:numFmt w:val="decimal"/>
      <w:lvlText w:val=""/>
      <w:lvlJc w:val="left"/>
    </w:lvl>
    <w:lvl w:ilvl="6" w:tplc="B3626BDC">
      <w:numFmt w:val="decimal"/>
      <w:lvlText w:val=""/>
      <w:lvlJc w:val="left"/>
    </w:lvl>
    <w:lvl w:ilvl="7" w:tplc="6D9C9A6E">
      <w:numFmt w:val="decimal"/>
      <w:lvlText w:val=""/>
      <w:lvlJc w:val="left"/>
    </w:lvl>
    <w:lvl w:ilvl="8" w:tplc="D2BC0E32">
      <w:numFmt w:val="decimal"/>
      <w:lvlText w:val=""/>
      <w:lvlJc w:val="left"/>
    </w:lvl>
  </w:abstractNum>
  <w:abstractNum w:abstractNumId="1" w15:restartNumberingAfterBreak="0">
    <w:nsid w:val="4A15555D"/>
    <w:multiLevelType w:val="hybridMultilevel"/>
    <w:tmpl w:val="2976E57C"/>
    <w:lvl w:ilvl="0" w:tplc="4C9C7D5C">
      <w:start w:val="1"/>
      <w:numFmt w:val="bullet"/>
      <w:lvlText w:val="●"/>
      <w:lvlJc w:val="left"/>
      <w:pPr>
        <w:ind w:left="720" w:hanging="360"/>
      </w:pPr>
    </w:lvl>
    <w:lvl w:ilvl="1" w:tplc="C178B13E">
      <w:start w:val="1"/>
      <w:numFmt w:val="bullet"/>
      <w:lvlText w:val="○"/>
      <w:lvlJc w:val="left"/>
      <w:pPr>
        <w:ind w:left="1440" w:hanging="360"/>
      </w:pPr>
    </w:lvl>
    <w:lvl w:ilvl="2" w:tplc="3272CCF6">
      <w:start w:val="1"/>
      <w:numFmt w:val="bullet"/>
      <w:lvlText w:val="■"/>
      <w:lvlJc w:val="left"/>
      <w:pPr>
        <w:ind w:left="2160" w:hanging="360"/>
      </w:pPr>
    </w:lvl>
    <w:lvl w:ilvl="3" w:tplc="6CEC3C60">
      <w:start w:val="1"/>
      <w:numFmt w:val="bullet"/>
      <w:lvlText w:val="●"/>
      <w:lvlJc w:val="left"/>
      <w:pPr>
        <w:ind w:left="2880" w:hanging="360"/>
      </w:pPr>
    </w:lvl>
    <w:lvl w:ilvl="4" w:tplc="81226330">
      <w:start w:val="1"/>
      <w:numFmt w:val="bullet"/>
      <w:lvlText w:val="○"/>
      <w:lvlJc w:val="left"/>
      <w:pPr>
        <w:ind w:left="3600" w:hanging="360"/>
      </w:pPr>
    </w:lvl>
    <w:lvl w:ilvl="5" w:tplc="84A8B762">
      <w:start w:val="1"/>
      <w:numFmt w:val="bullet"/>
      <w:lvlText w:val="■"/>
      <w:lvlJc w:val="left"/>
      <w:pPr>
        <w:ind w:left="4320" w:hanging="360"/>
      </w:pPr>
    </w:lvl>
    <w:lvl w:ilvl="6" w:tplc="E276466E">
      <w:start w:val="1"/>
      <w:numFmt w:val="bullet"/>
      <w:lvlText w:val="●"/>
      <w:lvlJc w:val="left"/>
      <w:pPr>
        <w:ind w:left="5040" w:hanging="360"/>
      </w:pPr>
    </w:lvl>
    <w:lvl w:ilvl="7" w:tplc="72746850">
      <w:start w:val="1"/>
      <w:numFmt w:val="bullet"/>
      <w:lvlText w:val="●"/>
      <w:lvlJc w:val="left"/>
      <w:pPr>
        <w:ind w:left="5760" w:hanging="360"/>
      </w:pPr>
    </w:lvl>
    <w:lvl w:ilvl="8" w:tplc="3268252A">
      <w:start w:val="1"/>
      <w:numFmt w:val="bullet"/>
      <w:lvlText w:val="●"/>
      <w:lvlJc w:val="left"/>
      <w:pPr>
        <w:ind w:left="6480" w:hanging="360"/>
      </w:pPr>
    </w:lvl>
  </w:abstractNum>
  <w:num w:numId="1" w16cid:durableId="1894534875">
    <w:abstractNumId w:val="1"/>
    <w:lvlOverride w:ilvl="0">
      <w:startOverride w:val="1"/>
    </w:lvlOverride>
  </w:num>
  <w:num w:numId="2" w16cid:durableId="17239474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7"/>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95B"/>
    <w:rsid w:val="00CD395B"/>
    <w:rsid w:val="00D13D99"/>
    <w:rsid w:val="00DD0C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E814E7D"/>
  <w15:docId w15:val="{F724B2D2-D485-2C45-912F-BC7018CB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240" w:after="120"/>
      <w:outlineLvl w:val="0"/>
    </w:pPr>
    <w:rPr>
      <w:b/>
      <w:bCs/>
      <w:color w:val="1F4E79"/>
      <w:sz w:val="28"/>
      <w:szCs w:val="28"/>
    </w:rPr>
  </w:style>
  <w:style w:type="paragraph" w:styleId="Ttulo2">
    <w:name w:val="heading 2"/>
    <w:uiPriority w:val="9"/>
    <w:unhideWhenUsed/>
    <w:qFormat/>
    <w:pPr>
      <w:spacing w:before="200" w:after="100"/>
      <w:outlineLvl w:val="1"/>
    </w:pPr>
    <w:rPr>
      <w:b/>
      <w:bCs/>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1227</Words>
  <Characters>6753</Characters>
  <Application>Microsoft Office Word</Application>
  <DocSecurity>0</DocSecurity>
  <Lines>56</Lines>
  <Paragraphs>15</Paragraphs>
  <ScaleCrop>false</ScaleCrop>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Luís Babiano Amelibia</cp:lastModifiedBy>
  <cp:revision>3</cp:revision>
  <dcterms:created xsi:type="dcterms:W3CDTF">2026-06-02T10:49:00Z</dcterms:created>
  <dcterms:modified xsi:type="dcterms:W3CDTF">2026-06-02T10:50:00Z</dcterms:modified>
</cp:coreProperties>
</file>